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314" w:leader="none"/>
          <w:tab w:val="center" w:pos="4819" w:leader="none"/>
        </w:tabs>
        <w:jc w:val="center"/>
        <w:rPr>
          <w:b/>
          <w:b/>
          <w:bCs/>
          <w:sz w:val="20"/>
          <w:szCs w:val="20"/>
          <w:lang w:val="uk-UA"/>
        </w:rPr>
      </w:pPr>
      <w:r>
        <w:rPr>
          <w:b/>
          <w:sz w:val="20"/>
          <w:szCs w:val="20"/>
          <w:lang w:val="uk-UA"/>
        </w:rPr>
        <w:t>Текст повідомлення про проведення річних загальних зборів акціонерів</w:t>
      </w:r>
    </w:p>
    <w:p>
      <w:pPr>
        <w:pStyle w:val="Normal"/>
        <w:tabs>
          <w:tab w:val="clear" w:pos="708"/>
          <w:tab w:val="left" w:pos="2314" w:leader="none"/>
          <w:tab w:val="center" w:pos="4819" w:leader="none"/>
        </w:tabs>
        <w:jc w:val="center"/>
        <w:rPr>
          <w:b/>
          <w:b/>
          <w:bCs/>
          <w:color w:val="000000"/>
          <w:sz w:val="20"/>
          <w:szCs w:val="20"/>
        </w:rPr>
      </w:pPr>
      <w:r>
        <w:rPr>
          <w:b/>
          <w:bCs/>
          <w:sz w:val="20"/>
          <w:szCs w:val="20"/>
          <w:lang w:val="uk-UA"/>
        </w:rPr>
        <w:t>ПРИВАТНОГО АКЦІОНЕРНОГО ТОВАРИСТВА</w:t>
      </w:r>
      <w:r>
        <w:rPr>
          <w:b/>
          <w:bCs/>
          <w:color w:val="000000"/>
          <w:sz w:val="20"/>
          <w:szCs w:val="20"/>
          <w:lang w:val="uk-UA"/>
        </w:rPr>
        <w:t xml:space="preserve"> </w:t>
      </w:r>
    </w:p>
    <w:p>
      <w:pPr>
        <w:pStyle w:val="Normal"/>
        <w:tabs>
          <w:tab w:val="clear" w:pos="708"/>
          <w:tab w:val="left" w:pos="2314" w:leader="none"/>
          <w:tab w:val="center" w:pos="4819" w:leader="none"/>
        </w:tabs>
        <w:jc w:val="center"/>
        <w:rPr>
          <w:sz w:val="20"/>
          <w:szCs w:val="20"/>
          <w:lang w:val="uk-UA"/>
        </w:rPr>
      </w:pPr>
      <w:r>
        <w:rPr>
          <w:b/>
          <w:bCs/>
          <w:sz w:val="20"/>
          <w:szCs w:val="20"/>
          <w:lang w:val="uk-UA"/>
        </w:rPr>
        <w:t>«</w:t>
      </w:r>
      <w:r>
        <w:rPr>
          <w:b/>
          <w:bCs/>
          <w:caps/>
          <w:sz w:val="20"/>
          <w:szCs w:val="20"/>
          <w:lang w:val="uk-UA"/>
        </w:rPr>
        <w:t>ЗАВОД МЕТАЛОКОНСТРУКЦІЙ УКРСТАЛЬ Дніпро</w:t>
      </w:r>
      <w:r>
        <w:rPr>
          <w:b/>
          <w:bCs/>
          <w:sz w:val="20"/>
          <w:szCs w:val="20"/>
          <w:lang w:val="uk-UA"/>
        </w:rPr>
        <w:t>»</w:t>
      </w:r>
      <w:r>
        <w:rPr>
          <w:b/>
          <w:bCs/>
          <w:color w:val="000000"/>
          <w:sz w:val="20"/>
          <w:szCs w:val="20"/>
          <w:lang w:val="uk-UA"/>
        </w:rPr>
        <w:t>,</w:t>
      </w:r>
    </w:p>
    <w:p>
      <w:pPr>
        <w:pStyle w:val="Normal"/>
        <w:keepNext w:val="true"/>
        <w:keepLines/>
        <w:spacing w:before="0" w:after="120"/>
        <w:jc w:val="center"/>
        <w:rPr>
          <w:b/>
          <w:b/>
          <w:sz w:val="20"/>
          <w:szCs w:val="20"/>
          <w:lang w:val="uk-UA"/>
        </w:rPr>
      </w:pPr>
      <w:r>
        <w:rPr>
          <w:b/>
          <w:sz w:val="20"/>
          <w:szCs w:val="20"/>
          <w:lang w:val="uk-UA"/>
        </w:rPr>
        <w:t>призначених на 18 листопада 2020 року</w:t>
      </w:r>
    </w:p>
    <w:p>
      <w:pPr>
        <w:pStyle w:val="Normal"/>
        <w:jc w:val="center"/>
        <w:rPr>
          <w:b/>
          <w:b/>
          <w:sz w:val="20"/>
          <w:szCs w:val="20"/>
          <w:lang w:val="uk-UA"/>
        </w:rPr>
      </w:pPr>
      <w:r>
        <w:rPr>
          <w:b/>
          <w:sz w:val="20"/>
          <w:szCs w:val="20"/>
          <w:lang w:val="uk-UA"/>
        </w:rPr>
        <w:t>До уваги акціонерів</w:t>
      </w:r>
    </w:p>
    <w:p>
      <w:pPr>
        <w:pStyle w:val="Normal"/>
        <w:jc w:val="center"/>
        <w:rPr>
          <w:b/>
          <w:b/>
          <w:sz w:val="20"/>
          <w:szCs w:val="20"/>
          <w:lang w:val="uk-UA"/>
        </w:rPr>
      </w:pPr>
      <w:r>
        <w:rPr>
          <w:b/>
          <w:bCs/>
          <w:sz w:val="20"/>
          <w:szCs w:val="20"/>
          <w:lang w:val="uk-UA"/>
        </w:rPr>
        <w:t>ПРИВАТНОГО АКЦІОНЕРНОГО ТОВАРИСТВА</w:t>
      </w:r>
      <w:r>
        <w:rPr>
          <w:b/>
          <w:bCs/>
          <w:color w:val="000000"/>
          <w:sz w:val="20"/>
          <w:szCs w:val="20"/>
          <w:lang w:val="uk-UA"/>
        </w:rPr>
        <w:t xml:space="preserve"> </w:t>
      </w:r>
      <w:r>
        <w:rPr>
          <w:b/>
          <w:bCs/>
          <w:sz w:val="20"/>
          <w:szCs w:val="20"/>
          <w:lang w:val="uk-UA"/>
        </w:rPr>
        <w:t>«</w:t>
      </w:r>
      <w:r>
        <w:rPr>
          <w:b/>
          <w:bCs/>
          <w:caps/>
          <w:sz w:val="20"/>
          <w:szCs w:val="20"/>
          <w:lang w:val="uk-UA"/>
        </w:rPr>
        <w:t>ЗАВОД МЕТАЛОКОНСТРУКЦІЙ УКРСТАЛЬ Дніпро</w:t>
      </w:r>
      <w:r>
        <w:rPr>
          <w:b/>
          <w:bCs/>
          <w:sz w:val="20"/>
          <w:szCs w:val="20"/>
          <w:lang w:val="uk-UA"/>
        </w:rPr>
        <w:t>»</w:t>
      </w:r>
    </w:p>
    <w:p>
      <w:pPr>
        <w:pStyle w:val="Normal"/>
        <w:ind w:firstLine="567"/>
        <w:jc w:val="both"/>
        <w:rPr>
          <w:b/>
          <w:b/>
          <w:sz w:val="20"/>
          <w:szCs w:val="20"/>
          <w:lang w:val="uk-UA"/>
        </w:rPr>
      </w:pPr>
      <w:r>
        <w:rPr>
          <w:b/>
          <w:sz w:val="20"/>
          <w:szCs w:val="20"/>
          <w:lang w:val="uk-UA"/>
        </w:rPr>
      </w:r>
    </w:p>
    <w:p>
      <w:pPr>
        <w:pStyle w:val="Normal"/>
        <w:ind w:firstLine="567"/>
        <w:jc w:val="both"/>
        <w:rPr>
          <w:b/>
          <w:b/>
          <w:sz w:val="20"/>
          <w:szCs w:val="20"/>
          <w:lang w:val="uk-UA"/>
        </w:rPr>
      </w:pPr>
      <w:r>
        <w:rPr>
          <w:b/>
          <w:sz w:val="20"/>
          <w:szCs w:val="20"/>
          <w:lang w:val="uk-UA"/>
        </w:rPr>
        <w:t>ПРИВАТНЕ АКЦІОНЕРНЕ ТОВАРИСТВО «</w:t>
      </w:r>
      <w:r>
        <w:rPr>
          <w:b/>
          <w:bCs/>
          <w:caps/>
          <w:sz w:val="20"/>
          <w:szCs w:val="20"/>
          <w:lang w:val="uk-UA"/>
        </w:rPr>
        <w:t>ЗАВОД МЕТАЛОКОНСТРУКЦІЙ УКРСТАЛЬ Дніпро</w:t>
      </w:r>
      <w:r>
        <w:rPr>
          <w:b/>
          <w:sz w:val="20"/>
          <w:szCs w:val="20"/>
          <w:lang w:val="uk-UA"/>
        </w:rPr>
        <w:t xml:space="preserve">» </w:t>
      </w:r>
      <w:r>
        <w:rPr>
          <w:sz w:val="20"/>
          <w:szCs w:val="20"/>
          <w:lang w:val="uk-UA"/>
        </w:rPr>
        <w:t xml:space="preserve">(надалі – </w:t>
      </w:r>
      <w:r>
        <w:rPr>
          <w:b/>
          <w:sz w:val="20"/>
          <w:szCs w:val="20"/>
          <w:lang w:val="uk-UA"/>
        </w:rPr>
        <w:t xml:space="preserve">Товариство </w:t>
      </w:r>
      <w:r>
        <w:rPr>
          <w:sz w:val="20"/>
          <w:szCs w:val="20"/>
          <w:lang w:val="uk-UA"/>
        </w:rPr>
        <w:t>або</w:t>
      </w:r>
      <w:r>
        <w:rPr>
          <w:b/>
          <w:sz w:val="20"/>
          <w:szCs w:val="20"/>
          <w:lang w:val="uk-UA"/>
        </w:rPr>
        <w:t xml:space="preserve"> ПрАТ «</w:t>
      </w:r>
      <w:r>
        <w:rPr>
          <w:b/>
          <w:bCs/>
          <w:sz w:val="20"/>
          <w:szCs w:val="20"/>
          <w:lang w:val="uk-UA"/>
        </w:rPr>
        <w:t>ЗМК</w:t>
      </w:r>
      <w:r>
        <w:rPr>
          <w:b/>
          <w:bCs/>
          <w:caps/>
          <w:sz w:val="20"/>
          <w:szCs w:val="20"/>
          <w:lang w:val="uk-UA"/>
        </w:rPr>
        <w:t xml:space="preserve"> УКРСТАЛЬ Дніпро</w:t>
      </w:r>
      <w:r>
        <w:rPr>
          <w:b/>
          <w:sz w:val="20"/>
          <w:szCs w:val="20"/>
          <w:lang w:val="uk-UA"/>
        </w:rPr>
        <w:t>»</w:t>
      </w:r>
      <w:r>
        <w:rPr>
          <w:sz w:val="20"/>
          <w:szCs w:val="20"/>
          <w:lang w:val="uk-UA"/>
        </w:rPr>
        <w:t>),</w:t>
      </w:r>
      <w:r>
        <w:rPr>
          <w:b/>
          <w:sz w:val="20"/>
          <w:szCs w:val="20"/>
          <w:lang w:val="uk-UA"/>
        </w:rPr>
        <w:t xml:space="preserve"> </w:t>
      </w:r>
      <w:r>
        <w:rPr>
          <w:sz w:val="20"/>
          <w:szCs w:val="20"/>
          <w:lang w:val="uk-UA"/>
        </w:rPr>
        <w:t xml:space="preserve">із місцезнаходженням за адресою: </w:t>
      </w:r>
      <w:r>
        <w:rPr>
          <w:spacing w:val="-4"/>
          <w:sz w:val="20"/>
          <w:szCs w:val="20"/>
          <w:lang w:val="uk-UA"/>
        </w:rPr>
        <w:t>Україна, 49019, Дніпропетровська область, м. Дніпро, вул. Ударників, буд. 54</w:t>
      </w:r>
      <w:r>
        <w:rPr>
          <w:sz w:val="20"/>
          <w:szCs w:val="20"/>
          <w:lang w:val="uk-UA"/>
        </w:rPr>
        <w:t xml:space="preserve">, код ЄДРПОУ 01412851, повідомляє про проведення річних загальних зборів акціонерів Товариства (надалі – </w:t>
      </w:r>
      <w:r>
        <w:rPr>
          <w:b/>
          <w:sz w:val="20"/>
          <w:szCs w:val="20"/>
          <w:lang w:val="uk-UA"/>
        </w:rPr>
        <w:t>Загальні збори</w:t>
      </w:r>
      <w:r>
        <w:rPr>
          <w:sz w:val="20"/>
          <w:szCs w:val="20"/>
          <w:lang w:val="uk-UA"/>
        </w:rPr>
        <w:t xml:space="preserve">), які відбудуться </w:t>
      </w:r>
      <w:r>
        <w:rPr>
          <w:b/>
          <w:sz w:val="20"/>
          <w:szCs w:val="20"/>
          <w:lang w:val="uk-UA"/>
        </w:rPr>
        <w:t>18 листопада 2020 року о 12:00</w:t>
      </w:r>
      <w:r>
        <w:rPr>
          <w:sz w:val="20"/>
          <w:szCs w:val="20"/>
          <w:lang w:val="uk-UA"/>
        </w:rPr>
        <w:t xml:space="preserve">, за адресою: Україна, 49019, Дніпропетровська область, м. Дніпро, вул. Ударників, буд. 54, адміністративно-управлінський корпус, </w:t>
      </w:r>
      <w:r>
        <w:rPr>
          <w:sz w:val="20"/>
          <w:szCs w:val="20"/>
        </w:rPr>
        <w:t>4</w:t>
      </w:r>
      <w:r>
        <w:rPr>
          <w:sz w:val="20"/>
          <w:szCs w:val="20"/>
          <w:lang w:val="uk-UA"/>
        </w:rPr>
        <w:t>-й поверх, актовий зал</w:t>
      </w:r>
      <w:r>
        <w:rPr>
          <w:spacing w:val="-4"/>
          <w:sz w:val="20"/>
          <w:szCs w:val="20"/>
          <w:lang w:val="uk-UA"/>
        </w:rPr>
        <w:t>.</w:t>
      </w:r>
      <w:r>
        <w:rPr>
          <w:sz w:val="20"/>
          <w:szCs w:val="20"/>
          <w:lang w:val="uk-UA"/>
        </w:rPr>
        <w:t xml:space="preserve"> </w:t>
      </w:r>
    </w:p>
    <w:p>
      <w:pPr>
        <w:pStyle w:val="Normal"/>
        <w:ind w:firstLine="437"/>
        <w:jc w:val="both"/>
        <w:rPr>
          <w:sz w:val="20"/>
          <w:szCs w:val="20"/>
          <w:lang w:val="uk-UA"/>
        </w:rPr>
      </w:pPr>
      <w:r>
        <w:rPr>
          <w:sz w:val="20"/>
          <w:szCs w:val="20"/>
          <w:lang w:val="uk-UA"/>
        </w:rPr>
        <w:t xml:space="preserve">Реєстрація акціонерів (їх представників) для участі у Загальних зборах буде проводитися </w:t>
      </w:r>
      <w:r>
        <w:rPr>
          <w:b/>
          <w:sz w:val="20"/>
          <w:szCs w:val="20"/>
          <w:lang w:val="uk-UA"/>
        </w:rPr>
        <w:t>18 листопада 2020 року з 11:00 до 11:45</w:t>
      </w:r>
      <w:r>
        <w:rPr>
          <w:sz w:val="20"/>
          <w:szCs w:val="20"/>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12 листопада 2020 року).</w:t>
      </w:r>
    </w:p>
    <w:p>
      <w:pPr>
        <w:pStyle w:val="Normal"/>
        <w:spacing w:before="60" w:after="60"/>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t>Перелік питань разом з проектами рішень щодо кожного з питань, включених до проекту порядку денного:</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1 проекту порядку денного</w:t>
      </w:r>
    </w:p>
    <w:p>
      <w:pPr>
        <w:pStyle w:val="Normal"/>
        <w:jc w:val="center"/>
        <w:rPr>
          <w:i/>
          <w:i/>
          <w:sz w:val="20"/>
          <w:szCs w:val="20"/>
          <w:lang w:val="uk-UA"/>
        </w:rPr>
      </w:pPr>
      <w:r>
        <w:rPr>
          <w:i/>
          <w:sz w:val="20"/>
          <w:szCs w:val="20"/>
          <w:lang w:val="uk-UA"/>
        </w:rPr>
        <w:t>«</w:t>
      </w:r>
      <w:r>
        <w:rPr>
          <w:i/>
          <w:sz w:val="20"/>
          <w:szCs w:val="20"/>
          <w:lang w:val="uk-UA" w:eastAsia="uk-UA"/>
        </w:rPr>
        <w:t>Обрання членів лічильної комісії річних загальних зборів акціонерів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rPr>
      </w:pPr>
      <w:r>
        <w:rPr>
          <w:sz w:val="20"/>
          <w:szCs w:val="20"/>
          <w:lang w:val="uk-UA"/>
        </w:rPr>
        <w:t>1. Обрати членами лічильної комісії річних загальних зборів акціонерів Товариства від 18 листопада 2020 року наступних осіб: Ігнатенко Інна Миколаївна – голова лічильної комісії; Суховерхо Оксана Іванівна – член лічильної комісії; Шликова Марина Василівна – член лічильної комісії.</w:t>
      </w:r>
    </w:p>
    <w:p>
      <w:pPr>
        <w:pStyle w:val="Normal"/>
        <w:jc w:val="both"/>
        <w:rPr>
          <w:b/>
          <w:b/>
          <w:sz w:val="20"/>
          <w:szCs w:val="20"/>
          <w:lang w:val="uk-UA"/>
        </w:rPr>
      </w:pPr>
      <w:r>
        <w:rPr>
          <w:b/>
          <w:sz w:val="20"/>
          <w:szCs w:val="20"/>
          <w:lang w:val="uk-UA"/>
        </w:rPr>
      </w:r>
    </w:p>
    <w:p>
      <w:pPr>
        <w:pStyle w:val="Normal"/>
        <w:keepNext w:val="true"/>
        <w:keepLines/>
        <w:jc w:val="center"/>
        <w:rPr>
          <w:i/>
          <w:i/>
          <w:sz w:val="20"/>
          <w:szCs w:val="20"/>
          <w:lang w:val="uk-UA"/>
        </w:rPr>
      </w:pPr>
      <w:r>
        <w:rPr>
          <w:i/>
          <w:sz w:val="20"/>
          <w:szCs w:val="20"/>
          <w:lang w:val="uk-UA"/>
        </w:rPr>
        <w:t>Питання № 2 проекту порядку денного</w:t>
      </w:r>
    </w:p>
    <w:p>
      <w:pPr>
        <w:pStyle w:val="Normal"/>
        <w:jc w:val="center"/>
        <w:rPr>
          <w:i/>
          <w:i/>
          <w:sz w:val="20"/>
          <w:szCs w:val="20"/>
          <w:lang w:val="uk-UA"/>
        </w:rPr>
      </w:pPr>
      <w:r>
        <w:rPr>
          <w:i/>
          <w:sz w:val="20"/>
          <w:szCs w:val="20"/>
          <w:lang w:val="uk-UA"/>
        </w:rPr>
        <w:t>«Розгляд звіту наглядової ради Товариства за 2019 рік та прийняття рішення за наслідками його розгляду»</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rPr>
        <w:t>Затвердити звіт наглядової ради Товариства за 2019 рік та визнати роботу наглядової ради Товариства за 2019 рік задовільною</w:t>
      </w:r>
      <w:r>
        <w:rPr>
          <w:sz w:val="20"/>
          <w:szCs w:val="20"/>
          <w:lang w:val="uk-UA" w:eastAsia="uk-UA"/>
        </w:rPr>
        <w:t>.</w:t>
      </w:r>
    </w:p>
    <w:p>
      <w:pPr>
        <w:pStyle w:val="Normal"/>
        <w:keepNext w:val="true"/>
        <w:keepLines/>
        <w:jc w:val="center"/>
        <w:rPr>
          <w:i/>
          <w:i/>
          <w:sz w:val="20"/>
          <w:szCs w:val="20"/>
          <w:lang w:val="uk-UA"/>
        </w:rPr>
      </w:pPr>
      <w:r>
        <w:rPr>
          <w:i/>
          <w:sz w:val="20"/>
          <w:szCs w:val="20"/>
          <w:lang w:val="uk-UA"/>
        </w:rPr>
      </w:r>
    </w:p>
    <w:p>
      <w:pPr>
        <w:pStyle w:val="Normal"/>
        <w:keepNext w:val="true"/>
        <w:keepLines/>
        <w:jc w:val="center"/>
        <w:rPr>
          <w:i/>
          <w:i/>
          <w:sz w:val="20"/>
          <w:szCs w:val="20"/>
          <w:lang w:val="uk-UA"/>
        </w:rPr>
      </w:pPr>
      <w:r>
        <w:rPr>
          <w:i/>
          <w:sz w:val="20"/>
          <w:szCs w:val="20"/>
          <w:lang w:val="uk-UA"/>
        </w:rPr>
        <w:t>Питання № 3 проекту порядку денного</w:t>
      </w:r>
    </w:p>
    <w:p>
      <w:pPr>
        <w:pStyle w:val="Normal"/>
        <w:jc w:val="center"/>
        <w:rPr>
          <w:i/>
          <w:i/>
          <w:sz w:val="20"/>
          <w:szCs w:val="20"/>
          <w:lang w:val="uk-UA"/>
        </w:rPr>
      </w:pPr>
      <w:r>
        <w:rPr>
          <w:i/>
          <w:sz w:val="20"/>
          <w:szCs w:val="20"/>
          <w:lang w:val="uk-UA"/>
        </w:rPr>
        <w:t>«Затвердження річного звіту Товариства за 2019 рік»</w:t>
      </w:r>
    </w:p>
    <w:p>
      <w:pPr>
        <w:pStyle w:val="Normal"/>
        <w:keepNext w:val="true"/>
        <w:keepLines/>
        <w:jc w:val="both"/>
        <w:rPr>
          <w:b/>
          <w:b/>
          <w:sz w:val="20"/>
          <w:szCs w:val="20"/>
          <w:lang w:val="uk-UA"/>
        </w:rPr>
      </w:pPr>
      <w:r>
        <w:rPr>
          <w:b/>
          <w:sz w:val="20"/>
          <w:szCs w:val="20"/>
          <w:lang w:val="uk-UA"/>
        </w:rPr>
        <w:t>Проект рішення:</w:t>
      </w:r>
    </w:p>
    <w:p>
      <w:pPr>
        <w:pStyle w:val="Normal"/>
        <w:keepNext w:val="true"/>
        <w:keepLines/>
        <w:jc w:val="both"/>
        <w:rPr>
          <w:i/>
          <w:i/>
          <w:sz w:val="20"/>
          <w:szCs w:val="20"/>
          <w:lang w:val="uk-UA"/>
        </w:rPr>
      </w:pPr>
      <w:r>
        <w:rPr>
          <w:sz w:val="20"/>
          <w:szCs w:val="20"/>
          <w:lang w:val="uk-UA"/>
        </w:rPr>
        <w:t xml:space="preserve">Затвердити річний звіт Товариства за 2019 рік (у формі річної фінансової звітності). </w:t>
      </w:r>
    </w:p>
    <w:p>
      <w:pPr>
        <w:pStyle w:val="Normal"/>
        <w:tabs>
          <w:tab w:val="clear" w:pos="708"/>
          <w:tab w:val="left" w:pos="284" w:leader="none"/>
        </w:tabs>
        <w:ind w:left="284" w:hanging="284"/>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4 проекту порядку денного</w:t>
      </w:r>
    </w:p>
    <w:p>
      <w:pPr>
        <w:pStyle w:val="Normal"/>
        <w:jc w:val="center"/>
        <w:rPr>
          <w:i/>
          <w:i/>
          <w:sz w:val="20"/>
          <w:szCs w:val="20"/>
          <w:lang w:val="uk-UA"/>
        </w:rPr>
      </w:pPr>
      <w:r>
        <w:rPr>
          <w:i/>
          <w:sz w:val="20"/>
          <w:szCs w:val="20"/>
          <w:lang w:val="uk-UA"/>
        </w:rPr>
        <w:t>«Розподіл прибутку і збитків Товариства»</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Чистий прибуток, отриманий Товариством за результатами фінансово-господарської діяльності у 2019 році, у розмірі 111 96</w:t>
      </w:r>
      <w:r>
        <w:rPr>
          <w:rFonts w:cs="Times New Roman" w:ascii="Times New Roman" w:hAnsi="Times New Roman"/>
          <w:sz w:val="20"/>
          <w:szCs w:val="20"/>
        </w:rPr>
        <w:t>7</w:t>
      </w:r>
      <w:r>
        <w:rPr>
          <w:rFonts w:cs="Times New Roman" w:ascii="Times New Roman" w:hAnsi="Times New Roman"/>
          <w:sz w:val="20"/>
          <w:szCs w:val="20"/>
          <w:lang w:val="uk-UA"/>
        </w:rPr>
        <w:t xml:space="preserve"> тис. грн направити на покриття збитків минулих періодів.</w:t>
      </w:r>
    </w:p>
    <w:p>
      <w:pPr>
        <w:pStyle w:val="Normal"/>
        <w:keepNext w:val="true"/>
        <w:jc w:val="both"/>
        <w:rPr>
          <w:i/>
          <w:i/>
          <w:sz w:val="16"/>
          <w:szCs w:val="16"/>
          <w:lang w:val="uk-UA"/>
        </w:rPr>
      </w:pPr>
      <w:r>
        <w:rPr>
          <w:i/>
          <w:sz w:val="16"/>
          <w:szCs w:val="16"/>
          <w:lang w:val="uk-UA"/>
        </w:rPr>
      </w:r>
    </w:p>
    <w:p>
      <w:pPr>
        <w:pStyle w:val="Normal"/>
        <w:tabs>
          <w:tab w:val="clear" w:pos="708"/>
          <w:tab w:val="left" w:pos="284" w:leader="none"/>
        </w:tabs>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5  проекту порядку денного</w:t>
      </w:r>
    </w:p>
    <w:p>
      <w:pPr>
        <w:pStyle w:val="Normal"/>
        <w:jc w:val="center"/>
        <w:rPr>
          <w:i/>
          <w:i/>
          <w:sz w:val="20"/>
          <w:szCs w:val="20"/>
          <w:lang w:val="uk-UA"/>
        </w:rPr>
      </w:pPr>
      <w:r>
        <w:rPr>
          <w:i/>
          <w:sz w:val="20"/>
          <w:szCs w:val="20"/>
          <w:lang w:val="uk-UA"/>
        </w:rPr>
        <w:t>«</w:t>
      </w:r>
      <w:r>
        <w:rPr>
          <w:i/>
          <w:sz w:val="20"/>
          <w:szCs w:val="20"/>
        </w:rPr>
        <w:t>Прийняття рішення про схвалення вчинених Товариством значних правочинів</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tabs>
          <w:tab w:val="clear" w:pos="708"/>
          <w:tab w:val="left" w:pos="426" w:leader="none"/>
        </w:tabs>
        <w:suppressAutoHyphens w:val="true"/>
        <w:jc w:val="both"/>
        <w:rPr>
          <w:sz w:val="20"/>
          <w:szCs w:val="20"/>
          <w:lang w:val="uk-UA"/>
        </w:rPr>
      </w:pPr>
      <w:r>
        <w:rPr>
          <w:sz w:val="20"/>
          <w:szCs w:val="20"/>
          <w:lang w:val="uk-UA"/>
        </w:rPr>
        <w:t xml:space="preserve">1. Схвалити вчинення Товариством наступних значних правочинів: </w:t>
      </w:r>
    </w:p>
    <w:p>
      <w:pPr>
        <w:pStyle w:val="Normal"/>
        <w:tabs>
          <w:tab w:val="clear" w:pos="708"/>
          <w:tab w:val="left" w:pos="426" w:leader="none"/>
        </w:tabs>
        <w:suppressAutoHyphens w:val="true"/>
        <w:jc w:val="both"/>
        <w:rPr>
          <w:sz w:val="20"/>
          <w:szCs w:val="20"/>
          <w:lang w:val="uk-UA"/>
        </w:rPr>
      </w:pPr>
      <w:r>
        <w:rPr>
          <w:sz w:val="20"/>
          <w:szCs w:val="20"/>
          <w:lang w:val="uk-UA"/>
        </w:rPr>
        <w:t>1.1. укладення виконавчим органом Товариства договору поставки №П-1240532/05/20 від 16 червня 2020 року з ТОВАРИСТВОМ З ОБМЕЖЕНОЮ ВІДПОВІДАЛЬНІСТЮ «МЕТІНВЕСТ-СМЦ», предметом якого є придбання металопродукції та загальна сума якого складає загальну вартість поставленого товару на підставі рахунків, додатків та/або видаткових/залізничних накладних. Станом на 08.10.2020 (дату прийняття Наглядовою радою Товариства рішення про проведення річних загальних зборів акціонерів Товариства) сукупна вартість (сума) договору з урахуванням всіх його рахунків, додатків та/або видаткових накладних складала 53</w:t>
      </w:r>
      <w:r>
        <w:rPr>
          <w:sz w:val="20"/>
          <w:szCs w:val="20"/>
          <w:lang w:val="en-US"/>
        </w:rPr>
        <w:t> </w:t>
      </w:r>
      <w:r>
        <w:rPr>
          <w:sz w:val="20"/>
          <w:szCs w:val="20"/>
          <w:lang w:val="uk-UA"/>
        </w:rPr>
        <w:t>176</w:t>
      </w:r>
      <w:r>
        <w:rPr>
          <w:sz w:val="20"/>
          <w:szCs w:val="20"/>
          <w:lang w:val="en-US"/>
        </w:rPr>
        <w:t> </w:t>
      </w:r>
      <w:r>
        <w:rPr>
          <w:sz w:val="20"/>
          <w:szCs w:val="20"/>
          <w:lang w:val="uk-UA"/>
        </w:rPr>
        <w:t xml:space="preserve">137,80 грн (пʼятдесят три мільйони сто сімдесят шість тисяч сто тридцять сім гривень 80 копійок) без ПДВ;   </w:t>
      </w:r>
    </w:p>
    <w:p>
      <w:pPr>
        <w:pStyle w:val="Normal"/>
        <w:tabs>
          <w:tab w:val="clear" w:pos="708"/>
          <w:tab w:val="left" w:pos="426" w:leader="none"/>
        </w:tabs>
        <w:suppressAutoHyphens w:val="true"/>
        <w:jc w:val="both"/>
        <w:rPr>
          <w:sz w:val="20"/>
          <w:szCs w:val="20"/>
          <w:lang w:val="uk-UA"/>
        </w:rPr>
      </w:pPr>
      <w:r>
        <w:rPr>
          <w:sz w:val="20"/>
          <w:szCs w:val="20"/>
          <w:lang w:val="uk-UA"/>
        </w:rPr>
        <w:t>1.2. укладення виконавчим органом Товариства договору субпідряду № 20/31 від 18 червня 2020 року з ПРИВАТНИМ АКЦІОНЕРНИМ ТОВАРИСТВОМ «УКРСТАЛЬ КОНСТРУКЦІЯ», предметом якого є виготовлення та поставка металоконструкцій для елементів прогонових будов сегментів: «Споруди №3, 5, 9, 16, 18», необхідних для будівництва Об’єкту: «Будівництво автотранспортної магістралі через р. Дніпро в м. Запорожжі» (автомобільна дорога Н-08 Бориспіль - Дніпро - Запорожжя (через м. Кременчук) - Маріуполь «Під’їзд до о. Хортиця (автотранспортна магістраль через р. Дніпро в м. Запоріжжя) (</w:t>
      </w:r>
      <w:r>
        <w:rPr>
          <w:sz w:val="20"/>
          <w:szCs w:val="20"/>
        </w:rPr>
        <w:t>I</w:t>
      </w:r>
      <w:r>
        <w:rPr>
          <w:sz w:val="20"/>
          <w:szCs w:val="20"/>
          <w:lang w:val="uk-UA"/>
        </w:rPr>
        <w:t xml:space="preserve"> черга будівництва),  та вартість (сума) договору якого склала 578</w:t>
      </w:r>
      <w:r>
        <w:rPr>
          <w:sz w:val="20"/>
          <w:szCs w:val="20"/>
        </w:rPr>
        <w:t> </w:t>
      </w:r>
      <w:r>
        <w:rPr>
          <w:sz w:val="20"/>
          <w:szCs w:val="20"/>
          <w:lang w:val="uk-UA"/>
        </w:rPr>
        <w:t>695</w:t>
      </w:r>
      <w:r>
        <w:rPr>
          <w:sz w:val="20"/>
          <w:szCs w:val="20"/>
        </w:rPr>
        <w:t> </w:t>
      </w:r>
      <w:r>
        <w:rPr>
          <w:sz w:val="20"/>
          <w:szCs w:val="20"/>
          <w:lang w:val="uk-UA"/>
        </w:rPr>
        <w:t>503,77 грн (пʼятсот сімдесят вісім мільйонів шістсот девʼяносто пʼять тисяч пʼятсот три гривні 77 копійок) без ПДВ.</w:t>
      </w:r>
    </w:p>
    <w:p>
      <w:pPr>
        <w:pStyle w:val="Normal"/>
        <w:tabs>
          <w:tab w:val="clear" w:pos="708"/>
          <w:tab w:val="left" w:pos="426" w:leader="none"/>
        </w:tabs>
        <w:suppressAutoHyphens w:val="true"/>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6  проекту порядку денного</w:t>
      </w:r>
    </w:p>
    <w:p>
      <w:pPr>
        <w:pStyle w:val="Normal"/>
        <w:tabs>
          <w:tab w:val="clear" w:pos="708"/>
          <w:tab w:val="left" w:pos="426" w:leader="none"/>
        </w:tabs>
        <w:suppressAutoHyphens w:val="true"/>
        <w:jc w:val="center"/>
        <w:rPr>
          <w:i/>
          <w:i/>
          <w:sz w:val="20"/>
          <w:szCs w:val="20"/>
          <w:lang w:val="uk-UA"/>
        </w:rPr>
      </w:pPr>
      <w:r>
        <w:rPr>
          <w:i/>
          <w:sz w:val="20"/>
          <w:szCs w:val="20"/>
          <w:lang w:val="uk-UA"/>
        </w:rPr>
        <w:t>«</w:t>
      </w:r>
      <w:r>
        <w:rPr>
          <w:i/>
          <w:sz w:val="20"/>
          <w:szCs w:val="20"/>
        </w:rPr>
        <w:t>Передача повноважень лічильної комісії Товариству з обмеженою відповідальністю «Стандарт-Реєстр», затвердження умов договору з Товариством з обмеженою відповідальністю «Стандарт-Реєстр», встановлення розміру оплати його послуг</w:t>
      </w:r>
      <w:r>
        <w:rPr>
          <w:i/>
          <w:sz w:val="20"/>
          <w:szCs w:val="20"/>
          <w:lang w:val="uk-UA"/>
        </w:rPr>
        <w:t>»</w:t>
      </w:r>
    </w:p>
    <w:p>
      <w:pPr>
        <w:pStyle w:val="Normal"/>
        <w:jc w:val="both"/>
        <w:rPr>
          <w:sz w:val="20"/>
          <w:szCs w:val="20"/>
          <w:lang w:val="uk-UA"/>
        </w:rPr>
      </w:pPr>
      <w:r>
        <w:rPr>
          <w:sz w:val="20"/>
          <w:szCs w:val="20"/>
          <w:lang w:val="uk-UA"/>
        </w:rPr>
        <w:t>1. Передати повноваження лічильної комісії депозитарній установі – Товариству з обмеженою відповідальністю «Стандарт-Реєстр» (код ЄДРПОУ 35531361), що здійснює депозитарну діяльність депозитарної установи на підставі ліцензії, виданої Національною комісією з цінних паперів та фондового ринку, рішення про видачу ліцензії №</w:t>
      </w:r>
      <w:r>
        <w:rPr>
          <w:sz w:val="20"/>
          <w:szCs w:val="20"/>
        </w:rPr>
        <w:t> </w:t>
      </w:r>
      <w:r>
        <w:rPr>
          <w:sz w:val="20"/>
          <w:szCs w:val="20"/>
          <w:lang w:val="uk-UA"/>
        </w:rPr>
        <w:t>454 від 21.04.2016, строк дії ліцензії</w:t>
      </w:r>
      <w:r>
        <w:rPr>
          <w:sz w:val="20"/>
          <w:szCs w:val="20"/>
        </w:rPr>
        <w:t> </w:t>
      </w:r>
      <w:r>
        <w:rPr>
          <w:sz w:val="20"/>
          <w:szCs w:val="20"/>
          <w:lang w:val="uk-UA"/>
        </w:rPr>
        <w:t>– з 21.04.2016 необмежений.</w:t>
      </w:r>
    </w:p>
    <w:p>
      <w:pPr>
        <w:pStyle w:val="Normal"/>
        <w:jc w:val="both"/>
        <w:rPr>
          <w:sz w:val="20"/>
          <w:szCs w:val="20"/>
        </w:rPr>
      </w:pPr>
      <w:r>
        <w:rPr>
          <w:sz w:val="20"/>
          <w:szCs w:val="20"/>
        </w:rPr>
        <w:t>2. Затвердити такі умови договору з Товариством з обмеженою відповідальністю «Стандарт-Реєстр» та встановити розмір оплати його послуг:</w:t>
      </w:r>
    </w:p>
    <w:p>
      <w:pPr>
        <w:pStyle w:val="ListParagraph"/>
        <w:numPr>
          <w:ilvl w:val="0"/>
          <w:numId w:val="1"/>
        </w:numPr>
        <w:jc w:val="both"/>
        <w:rPr>
          <w:sz w:val="20"/>
          <w:szCs w:val="20"/>
        </w:rPr>
      </w:pPr>
      <w:r>
        <w:rPr>
          <w:sz w:val="20"/>
          <w:szCs w:val="20"/>
        </w:rPr>
        <w:t>предмет договору – надання послуг щодо виконання функцій лічильної комісії;</w:t>
      </w:r>
    </w:p>
    <w:p>
      <w:pPr>
        <w:pStyle w:val="ListParagraph"/>
        <w:numPr>
          <w:ilvl w:val="0"/>
          <w:numId w:val="1"/>
        </w:numPr>
        <w:jc w:val="both"/>
        <w:rPr>
          <w:sz w:val="20"/>
          <w:szCs w:val="20"/>
        </w:rPr>
      </w:pPr>
      <w:r>
        <w:rPr>
          <w:sz w:val="20"/>
          <w:szCs w:val="20"/>
        </w:rPr>
        <w:t>термін дії договору – до 31 жовтня 2023 року;</w:t>
      </w:r>
    </w:p>
    <w:p>
      <w:pPr>
        <w:pStyle w:val="ListParagraph"/>
        <w:numPr>
          <w:ilvl w:val="0"/>
          <w:numId w:val="1"/>
        </w:numPr>
        <w:jc w:val="both"/>
        <w:rPr>
          <w:sz w:val="20"/>
          <w:szCs w:val="20"/>
        </w:rPr>
      </w:pPr>
      <w:r>
        <w:rPr>
          <w:sz w:val="20"/>
          <w:szCs w:val="20"/>
        </w:rPr>
        <w:t>вартість послуг – не повинна перевищувати  9 000 грн (девʼять тисяч гривень 00 коп.) за одні загальні збори акціонерів.</w:t>
      </w:r>
    </w:p>
    <w:p>
      <w:pPr>
        <w:pStyle w:val="Normal"/>
        <w:tabs>
          <w:tab w:val="clear" w:pos="708"/>
          <w:tab w:val="left" w:pos="284" w:leader="none"/>
        </w:tabs>
        <w:rPr>
          <w:sz w:val="20"/>
          <w:szCs w:val="20"/>
          <w:lang w:val="uk-UA"/>
        </w:rPr>
      </w:pPr>
      <w:r>
        <w:rPr>
          <w:sz w:val="20"/>
          <w:szCs w:val="20"/>
          <w:lang w:val="uk-UA"/>
        </w:rPr>
      </w:r>
    </w:p>
    <w:p>
      <w:pPr>
        <w:pStyle w:val="Normal"/>
        <w:ind w:firstLine="285"/>
        <w:jc w:val="both"/>
        <w:rPr/>
      </w:pPr>
      <w:r>
        <w:rPr>
          <w:sz w:val="20"/>
          <w:szCs w:val="20"/>
          <w:lang w:val="uk-UA"/>
        </w:rPr>
        <w:t>Адреса веб-сайту Товариства,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08 жовтня 2020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08 жовтня 2020 року</w:t>
      </w:r>
      <w:r>
        <w:rPr>
          <w:sz w:val="20"/>
          <w:szCs w:val="20"/>
        </w:rPr>
        <w:t>)</w:t>
      </w:r>
      <w:r>
        <w:rPr>
          <w:sz w:val="20"/>
          <w:szCs w:val="20"/>
          <w:lang w:val="uk-UA"/>
        </w:rPr>
        <w:t xml:space="preserve">, </w:t>
      </w:r>
      <w:hyperlink r:id="rId2">
        <w:r>
          <w:rPr>
            <w:rStyle w:val="Style14"/>
            <w:sz w:val="21"/>
            <w:szCs w:val="21"/>
            <w:lang w:val="uk-UA"/>
          </w:rPr>
          <w:t>http://www.</w:t>
        </w:r>
        <w:r>
          <w:rPr>
            <w:rStyle w:val="Style14"/>
            <w:sz w:val="21"/>
            <w:szCs w:val="21"/>
            <w:lang w:val="en-US"/>
          </w:rPr>
          <w:t>d</w:t>
        </w:r>
        <w:r>
          <w:rPr>
            <w:rStyle w:val="Style14"/>
            <w:sz w:val="21"/>
            <w:szCs w:val="21"/>
            <w:lang w:val="uk-UA"/>
          </w:rPr>
          <w:t>zmk.pat.ua</w:t>
        </w:r>
      </w:hyperlink>
      <w:r>
        <w:rPr>
          <w:sz w:val="20"/>
          <w:szCs w:val="20"/>
          <w:lang w:val="uk-UA"/>
        </w:rPr>
        <w:t>.</w:t>
      </w:r>
    </w:p>
    <w:p>
      <w:pPr>
        <w:pStyle w:val="Normal"/>
        <w:jc w:val="both"/>
        <w:rPr>
          <w:sz w:val="20"/>
          <w:szCs w:val="20"/>
          <w:lang w:val="uk-UA"/>
        </w:rPr>
      </w:pPr>
      <w:r>
        <w:rPr>
          <w:sz w:val="20"/>
          <w:szCs w:val="20"/>
          <w:lang w:val="uk-UA"/>
        </w:rPr>
      </w:r>
    </w:p>
    <w:p>
      <w:pPr>
        <w:pStyle w:val="Normal"/>
        <w:rPr>
          <w:b/>
          <w:b/>
          <w:sz w:val="20"/>
          <w:szCs w:val="20"/>
          <w:lang w:val="uk-UA" w:eastAsia="x-none"/>
        </w:rPr>
      </w:pPr>
      <w:r>
        <w:rPr>
          <w:b/>
          <w:sz w:val="20"/>
          <w:szCs w:val="20"/>
          <w:lang w:val="uk-UA" w:eastAsia="x-none"/>
        </w:rPr>
      </w:r>
    </w:p>
    <w:p>
      <w:pPr>
        <w:pStyle w:val="Normal"/>
        <w:spacing w:before="0" w:after="120"/>
        <w:jc w:val="center"/>
        <w:rPr>
          <w:sz w:val="20"/>
          <w:szCs w:val="20"/>
          <w:lang w:val="uk-UA" w:eastAsia="uk-UA"/>
        </w:rPr>
      </w:pPr>
      <w:r>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before="0" w:after="120"/>
        <w:jc w:val="both"/>
        <w:rPr>
          <w:sz w:val="20"/>
          <w:szCs w:val="20"/>
          <w:lang w:val="uk-UA" w:eastAsia="uk-UA"/>
        </w:rPr>
      </w:pPr>
      <w:r>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0"/>
          <w:szCs w:val="20"/>
          <w:lang w:val="uk-UA"/>
        </w:rPr>
        <w:t xml:space="preserve">Україна, </w:t>
      </w:r>
      <w:r>
        <w:rPr>
          <w:spacing w:val="-4"/>
          <w:sz w:val="20"/>
          <w:szCs w:val="20"/>
        </w:rPr>
        <w:t>49019</w:t>
      </w:r>
      <w:r>
        <w:rPr>
          <w:spacing w:val="-4"/>
          <w:sz w:val="20"/>
          <w:szCs w:val="20"/>
          <w:lang w:val="uk-UA"/>
        </w:rPr>
        <w:t>, Дніпропетровська область, м. Дніпро, вул. Ударників, буд. 54</w:t>
      </w:r>
      <w:r>
        <w:rPr>
          <w:sz w:val="20"/>
          <w:szCs w:val="20"/>
          <w:lang w:val="uk-UA"/>
        </w:rPr>
        <w:t>, адміністративно-управлінський корпус, 2-й поверх, кабінет № 209,</w:t>
      </w:r>
      <w:r>
        <w:rPr>
          <w:sz w:val="20"/>
          <w:szCs w:val="20"/>
          <w:lang w:val="uk-UA" w:eastAsia="uk-UA"/>
        </w:rPr>
        <w:t xml:space="preserve"> у робочі дні з 10:00 до 13:00 з дати надсилання повідомлення до 18 листопада 2020 року, </w:t>
      </w:r>
      <w:r>
        <w:rPr>
          <w:i/>
          <w:iCs/>
          <w:sz w:val="20"/>
          <w:szCs w:val="20"/>
          <w:lang w:val="uk-UA" w:eastAsia="uk-UA"/>
        </w:rPr>
        <w:t xml:space="preserve">а в день проведення Загальних зборів – також в місці їх проведення. </w:t>
      </w:r>
      <w:r>
        <w:rPr>
          <w:iCs/>
          <w:sz w:val="20"/>
          <w:szCs w:val="20"/>
          <w:lang w:val="uk-UA" w:eastAsia="uk-UA"/>
        </w:rPr>
        <w:t xml:space="preserve">Посадова </w:t>
      </w:r>
      <w:r>
        <w:rPr>
          <w:sz w:val="20"/>
          <w:szCs w:val="20"/>
          <w:lang w:val="uk-UA" w:eastAsia="uk-UA"/>
        </w:rPr>
        <w:t>особа, відповідальна за порядок ознайомлення акціонерів з документами – головний бухгалтер Товариства Ігнатенко Інна Миколаївна</w:t>
      </w:r>
      <w:r>
        <w:rPr>
          <w:sz w:val="20"/>
          <w:szCs w:val="20"/>
          <w:lang w:val="uk-UA"/>
        </w:rPr>
        <w:t xml:space="preserve">, телефон для довідок: </w:t>
      </w:r>
      <w:r>
        <w:rPr>
          <w:sz w:val="20"/>
          <w:szCs w:val="20"/>
        </w:rPr>
        <w:t>050-487-98-12</w:t>
      </w:r>
      <w:r>
        <w:rPr>
          <w:sz w:val="20"/>
          <w:szCs w:val="20"/>
          <w:lang w:val="uk-UA" w:eastAsia="uk-UA"/>
        </w:rPr>
        <w:t>.</w:t>
      </w:r>
    </w:p>
    <w:p>
      <w:pPr>
        <w:pStyle w:val="Normal"/>
        <w:spacing w:before="0" w:after="120"/>
        <w:jc w:val="both"/>
        <w:rPr>
          <w:sz w:val="20"/>
          <w:szCs w:val="20"/>
          <w:lang w:val="uk-UA" w:eastAsia="uk-UA"/>
        </w:rPr>
      </w:pPr>
      <w:r>
        <w:rPr>
          <w:sz w:val="20"/>
          <w:szCs w:val="20"/>
          <w:lang w:val="uk-UA" w:eastAsia="uk-UA"/>
        </w:rPr>
        <w:t xml:space="preserve">2. Для ознайомлення із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повноваження представника акціонера, – довіреність, оформлену відповідно до вимог чинного законодавства України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w:t>
      </w:r>
      <w:r>
        <w:rPr>
          <w:sz w:val="20"/>
          <w:szCs w:val="20"/>
          <w:lang w:val="uk-UA"/>
        </w:rPr>
        <w:t>ПрАТ «</w:t>
      </w:r>
      <w:r>
        <w:rPr>
          <w:bCs/>
          <w:sz w:val="20"/>
          <w:szCs w:val="20"/>
          <w:lang w:val="uk-UA"/>
        </w:rPr>
        <w:t>ЗМК</w:t>
      </w:r>
      <w:r>
        <w:rPr>
          <w:bCs/>
          <w:caps/>
          <w:sz w:val="20"/>
          <w:szCs w:val="20"/>
          <w:lang w:val="uk-UA"/>
        </w:rPr>
        <w:t xml:space="preserve"> УКРСТАЛЬ Дніпро</w:t>
      </w:r>
      <w:r>
        <w:rPr>
          <w:sz w:val="20"/>
          <w:szCs w:val="20"/>
          <w:lang w:val="uk-UA"/>
        </w:rPr>
        <w:t>»</w:t>
      </w:r>
      <w:r>
        <w:rPr>
          <w:sz w:val="20"/>
          <w:szCs w:val="20"/>
          <w:lang w:val="uk-UA" w:eastAsia="uk-UA"/>
        </w:rPr>
        <w:t xml:space="preserve"> - оригінал виписки про стан рахунку в цінних паперах, складеної депозитарною установою станом на дату, що передує даті звернення акціонера (представника акціонера) з вимогою про надання документів для ознайомлення.</w:t>
      </w:r>
    </w:p>
    <w:p>
      <w:pPr>
        <w:pStyle w:val="Normal"/>
        <w:spacing w:before="0" w:after="120"/>
        <w:jc w:val="both"/>
        <w:rPr>
          <w:sz w:val="20"/>
          <w:szCs w:val="20"/>
          <w:lang w:val="uk-UA" w:eastAsia="uk-UA"/>
        </w:rPr>
      </w:pPr>
      <w:r>
        <w:rPr>
          <w:sz w:val="20"/>
          <w:szCs w:val="20"/>
          <w:lang w:val="uk-UA" w:eastAsia="uk-UA"/>
        </w:rPr>
        <w:t xml:space="preserve">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w:t>
      </w:r>
      <w:r>
        <w:rPr>
          <w:sz w:val="20"/>
          <w:szCs w:val="20"/>
          <w:lang w:val="uk-UA"/>
        </w:rPr>
        <w:t>ПрАТ «</w:t>
      </w:r>
      <w:r>
        <w:rPr>
          <w:bCs/>
          <w:sz w:val="20"/>
          <w:szCs w:val="20"/>
          <w:lang w:val="uk-UA"/>
        </w:rPr>
        <w:t>ЗМК</w:t>
      </w:r>
      <w:r>
        <w:rPr>
          <w:bCs/>
          <w:caps/>
          <w:sz w:val="20"/>
          <w:szCs w:val="20"/>
          <w:lang w:val="uk-UA"/>
        </w:rPr>
        <w:t xml:space="preserve"> УКРСТАЛЬ Дніпро</w:t>
      </w:r>
      <w:r>
        <w:rPr>
          <w:sz w:val="20"/>
          <w:szCs w:val="20"/>
          <w:lang w:val="uk-UA"/>
        </w:rPr>
        <w:t>»</w:t>
      </w:r>
      <w:r>
        <w:rPr>
          <w:sz w:val="20"/>
          <w:szCs w:val="20"/>
          <w:lang w:val="uk-UA" w:eastAsia="uk-UA"/>
        </w:rPr>
        <w:t xml:space="preserve">, відповідальної за порядок ознайомлення акціонерів з такими документами, надавши посадовій особі </w:t>
      </w:r>
      <w:r>
        <w:rPr>
          <w:sz w:val="20"/>
          <w:szCs w:val="20"/>
          <w:lang w:val="uk-UA"/>
        </w:rPr>
        <w:t>ПрАТ «</w:t>
      </w:r>
      <w:r>
        <w:rPr>
          <w:bCs/>
          <w:sz w:val="20"/>
          <w:szCs w:val="20"/>
          <w:lang w:val="uk-UA"/>
        </w:rPr>
        <w:t>ЗМК</w:t>
      </w:r>
      <w:r>
        <w:rPr>
          <w:bCs/>
          <w:caps/>
          <w:sz w:val="20"/>
          <w:szCs w:val="20"/>
          <w:lang w:val="uk-UA"/>
        </w:rPr>
        <w:t xml:space="preserve"> УКРСТАЛЬ Дніпро</w:t>
      </w:r>
      <w:r>
        <w:rPr>
          <w:sz w:val="20"/>
          <w:szCs w:val="20"/>
          <w:lang w:val="uk-UA"/>
        </w:rPr>
        <w:t>»</w:t>
      </w:r>
      <w:r>
        <w:rPr>
          <w:sz w:val="20"/>
          <w:szCs w:val="20"/>
          <w:lang w:val="uk-UA" w:eastAsia="uk-UA"/>
        </w:rPr>
        <w:t xml:space="preserve"> документи, зазначені в попередньому пункті.</w:t>
      </w:r>
    </w:p>
    <w:p>
      <w:pPr>
        <w:pStyle w:val="Normal"/>
        <w:spacing w:before="0" w:after="120"/>
        <w:jc w:val="both"/>
        <w:rPr>
          <w:sz w:val="20"/>
          <w:szCs w:val="20"/>
          <w:lang w:val="uk-UA" w:eastAsia="uk-UA"/>
        </w:rPr>
      </w:pPr>
      <w:r>
        <w:rPr>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(його представнику) поштовим листом (або вручаються особисто під розпис акціонеру/його представнику)  протягом 3 (трьох)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before="0" w:after="120"/>
        <w:jc w:val="both"/>
        <w:rPr>
          <w:sz w:val="20"/>
          <w:szCs w:val="20"/>
          <w:lang w:val="uk-UA" w:eastAsia="uk-UA"/>
        </w:rPr>
      </w:pPr>
      <w:r>
        <w:rPr>
          <w:b/>
          <w:bCs/>
          <w:sz w:val="20"/>
          <w:szCs w:val="20"/>
          <w:u w:val="single"/>
          <w:lang w:val="uk-UA" w:eastAsia="uk-UA"/>
        </w:rPr>
        <w:t>Права акціонерів, надані акціонерам відповідно до вимог ст. 36 та 38 Закону України «Про акціонерні товариства»</w:t>
      </w:r>
    </w:p>
    <w:p>
      <w:pPr>
        <w:pStyle w:val="Normal"/>
        <w:spacing w:before="0" w:after="120"/>
        <w:jc w:val="both"/>
        <w:rPr>
          <w:sz w:val="20"/>
          <w:szCs w:val="20"/>
          <w:lang w:val="uk-UA" w:eastAsia="uk-UA"/>
        </w:rPr>
      </w:pPr>
      <w:r>
        <w:rPr>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spacing w:before="0" w:after="120"/>
        <w:jc w:val="both"/>
        <w:rPr>
          <w:sz w:val="20"/>
          <w:szCs w:val="20"/>
          <w:lang w:val="uk-UA" w:eastAsia="uk-UA"/>
        </w:rPr>
      </w:pPr>
      <w:r>
        <w:rPr>
          <w:sz w:val="20"/>
          <w:szCs w:val="20"/>
          <w:lang w:val="uk-UA" w:eastAsia="uk-UA"/>
        </w:rPr>
        <w:t>2. Кожний акціонер має право внести пропозиції щодо питань, включених до проекту порядку денного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акціонером (його представником) не пізніше, ніж за 20 днів до дати проведення Загальних зборів за місцезнаходженням Товариства:</w:t>
      </w:r>
      <w:r>
        <w:rPr>
          <w:sz w:val="20"/>
          <w:szCs w:val="20"/>
          <w:lang w:val="uk-UA"/>
        </w:rPr>
        <w:t xml:space="preserve"> </w:t>
      </w:r>
      <w:r>
        <w:rPr>
          <w:spacing w:val="-4"/>
          <w:sz w:val="20"/>
          <w:szCs w:val="20"/>
          <w:lang w:val="uk-UA"/>
        </w:rPr>
        <w:t>Україна, 49019, Дніпропетровська область, м. Дніпро, вул. Ударників, буд. 54</w:t>
      </w:r>
      <w:r>
        <w:rPr>
          <w:sz w:val="20"/>
          <w:szCs w:val="20"/>
          <w:lang w:val="uk-UA" w:eastAsia="uk-UA"/>
        </w:rPr>
        <w:t xml:space="preserve">. </w:t>
      </w:r>
    </w:p>
    <w:p>
      <w:pPr>
        <w:pStyle w:val="Normal"/>
        <w:spacing w:before="0" w:after="120"/>
        <w:jc w:val="both"/>
        <w:rPr>
          <w:sz w:val="20"/>
          <w:szCs w:val="20"/>
          <w:lang w:val="uk-UA" w:eastAsia="uk-UA"/>
        </w:rPr>
      </w:pPr>
      <w:r>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pPr>
        <w:pStyle w:val="Normal"/>
        <w:spacing w:before="0" w:after="120"/>
        <w:jc w:val="both"/>
        <w:rPr>
          <w:sz w:val="20"/>
          <w:szCs w:val="20"/>
          <w:lang w:val="uk-UA" w:eastAsia="uk-UA"/>
        </w:rPr>
      </w:pPr>
      <w:r>
        <w:rPr>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 2 та 3 цього розділу.</w:t>
      </w:r>
    </w:p>
    <w:p>
      <w:pPr>
        <w:pStyle w:val="Normal"/>
        <w:spacing w:before="0" w:after="120"/>
        <w:jc w:val="both"/>
        <w:rPr>
          <w:sz w:val="20"/>
          <w:szCs w:val="20"/>
          <w:lang w:val="uk-UA" w:eastAsia="uk-UA"/>
        </w:rPr>
      </w:pPr>
      <w:r>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pPr>
        <w:pStyle w:val="Normal"/>
        <w:spacing w:before="0" w:after="120"/>
        <w:jc w:val="both"/>
        <w:rPr>
          <w:sz w:val="20"/>
          <w:szCs w:val="20"/>
          <w:lang w:val="uk-UA" w:eastAsia="uk-UA"/>
        </w:rPr>
      </w:pPr>
      <w:r>
        <w:rPr>
          <w:sz w:val="20"/>
          <w:szCs w:val="20"/>
          <w:lang w:val="uk-UA" w:eastAsia="uk-UA"/>
        </w:rPr>
        <w:t>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випадках, встановлених Законом України «Про акціонерні товариства», а саме: недотримання акціонерами строку подання пропозиції (п. 2 цього розділу повідомлення) та неповноти даних пропозиції (п. 3 цього розділу повідомлення), а також у разі неподання акціонером жодного проекту рішення із запропонованих ним питань порядку денного.</w:t>
      </w:r>
    </w:p>
    <w:p>
      <w:pPr>
        <w:pStyle w:val="Normal"/>
        <w:spacing w:before="0" w:after="120"/>
        <w:jc w:val="both"/>
        <w:rPr>
          <w:sz w:val="20"/>
          <w:szCs w:val="20"/>
          <w:lang w:val="uk-UA" w:eastAsia="uk-UA"/>
        </w:rPr>
      </w:pPr>
      <w:r>
        <w:rPr>
          <w:sz w:val="20"/>
          <w:szCs w:val="20"/>
          <w:lang w:val="uk-UA" w:eastAsia="uk-UA"/>
        </w:rPr>
        <w:t>7. Мотивоване рішення про відмову у включенні пропозиції до проекту порядку денного Загальних зборів надсилається Товариством акціонеру протягом 3 днів з моменту його прийняття.</w:t>
      </w:r>
    </w:p>
    <w:p>
      <w:pPr>
        <w:pStyle w:val="Normal"/>
        <w:spacing w:before="0" w:after="120"/>
        <w:jc w:val="both"/>
        <w:rPr>
          <w:sz w:val="20"/>
          <w:szCs w:val="20"/>
          <w:lang w:val="uk-UA" w:eastAsia="uk-UA"/>
        </w:rPr>
      </w:pPr>
      <w:r>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pPr>
        <w:pStyle w:val="Normal"/>
        <w:spacing w:before="0" w:after="120"/>
        <w:jc w:val="both"/>
        <w:rPr>
          <w:sz w:val="20"/>
          <w:szCs w:val="20"/>
          <w:lang w:val="uk-UA" w:eastAsia="uk-UA"/>
        </w:rPr>
      </w:pPr>
      <w:r>
        <w:rPr>
          <w:b/>
          <w:bCs/>
          <w:sz w:val="20"/>
          <w:szCs w:val="20"/>
          <w:u w:val="single"/>
          <w:lang w:val="uk-UA" w:eastAsia="uk-UA"/>
        </w:rPr>
        <w:t>Порядок участі та голосування на Загальних зборах за довіреністю</w:t>
      </w:r>
    </w:p>
    <w:p>
      <w:pPr>
        <w:pStyle w:val="Normal"/>
        <w:spacing w:before="0" w:after="120"/>
        <w:jc w:val="both"/>
        <w:rPr>
          <w:sz w:val="20"/>
          <w:szCs w:val="20"/>
          <w:lang w:val="uk-UA" w:eastAsia="uk-UA"/>
        </w:rPr>
      </w:pPr>
      <w:r>
        <w:rPr>
          <w:sz w:val="20"/>
          <w:szCs w:val="20"/>
          <w:lang w:val="uk-UA" w:eastAsia="uk-UA"/>
        </w:rPr>
        <w:t xml:space="preserve">1. </w:t>
      </w:r>
      <w:r>
        <w:rPr>
          <w:sz w:val="20"/>
          <w:szCs w:val="20"/>
          <w:lang w:val="uk-UA"/>
        </w:rPr>
        <w:t>Акціонерам (представникам акціонерів) необхідно мати при собі документ, що посвідчує особу (паспорт тощо).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для інших представників – довіреність, видану для участі та голосування на Загальних зборах, оформлену згідно з</w:t>
      </w:r>
      <w:r>
        <w:rPr>
          <w:color w:val="3366FF"/>
          <w:sz w:val="20"/>
          <w:szCs w:val="20"/>
          <w:lang w:val="uk-UA"/>
        </w:rPr>
        <w:t xml:space="preserve"> </w:t>
      </w:r>
      <w:r>
        <w:rPr>
          <w:sz w:val="20"/>
          <w:szCs w:val="20"/>
          <w:lang w:val="uk-UA"/>
        </w:rPr>
        <w:t xml:space="preserve">вимогами законодавства України). </w:t>
      </w:r>
      <w:r>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before="0" w:after="120"/>
        <w:jc w:val="both"/>
        <w:rPr>
          <w:sz w:val="20"/>
          <w:szCs w:val="20"/>
          <w:lang w:val="uk-UA" w:eastAsia="uk-UA"/>
        </w:rPr>
      </w:pPr>
      <w:r>
        <w:rPr>
          <w:sz w:val="20"/>
          <w:szCs w:val="20"/>
          <w:lang w:val="uk-UA" w:eastAsia="uk-UA"/>
        </w:rPr>
        <w:t>2. Довіреність на право участі та голосування на Загальних зборах може містити завдання (інструкцію тощо)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(інструкцією, тощо) щодо голосування. Якщо довіреність не містить завдання (інструкцію тощо) щодо голосування, представник вирішує всі питання щодо голосування на Загальних зборах акціонерів на свій розсуд.</w:t>
      </w:r>
    </w:p>
    <w:p>
      <w:pPr>
        <w:pStyle w:val="Normal"/>
        <w:spacing w:before="0" w:after="120"/>
        <w:jc w:val="both"/>
        <w:rPr>
          <w:sz w:val="20"/>
          <w:szCs w:val="20"/>
          <w:lang w:val="uk-UA" w:eastAsia="uk-UA"/>
        </w:rPr>
      </w:pPr>
      <w:r>
        <w:rPr>
          <w:sz w:val="20"/>
          <w:szCs w:val="20"/>
          <w:lang w:val="uk-UA" w:eastAsia="uk-UA"/>
        </w:rPr>
        <w:t>3.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b/>
          <w:b/>
          <w:sz w:val="20"/>
          <w:szCs w:val="20"/>
          <w:lang w:val="uk-UA"/>
        </w:rPr>
      </w:pPr>
      <w:r>
        <w:rPr>
          <w:b/>
          <w:sz w:val="20"/>
          <w:szCs w:val="20"/>
          <w:lang w:val="uk-UA"/>
        </w:rPr>
      </w:r>
    </w:p>
    <w:p>
      <w:pPr>
        <w:pStyle w:val="Normal"/>
        <w:rPr>
          <w:b/>
          <w:b/>
          <w:sz w:val="20"/>
          <w:szCs w:val="20"/>
          <w:lang w:val="uk-UA"/>
        </w:rPr>
      </w:pPr>
      <w:r>
        <w:rPr>
          <w:sz w:val="20"/>
          <w:szCs w:val="20"/>
          <w:lang w:val="uk-UA"/>
        </w:rPr>
        <w:t xml:space="preserve">Телефон для довідок: </w:t>
      </w:r>
      <w:r>
        <w:rPr>
          <w:sz w:val="20"/>
          <w:szCs w:val="20"/>
        </w:rPr>
        <w:t>050-487-98-12</w:t>
      </w:r>
      <w:r>
        <w:rPr>
          <w:sz w:val="20"/>
          <w:szCs w:val="20"/>
          <w:lang w:val="uk-UA"/>
        </w:rPr>
        <w:t>.</w:t>
      </w:r>
    </w:p>
    <w:p>
      <w:pPr>
        <w:pStyle w:val="Normal"/>
        <w:rPr>
          <w:b/>
          <w:b/>
          <w:sz w:val="20"/>
          <w:szCs w:val="20"/>
          <w:lang w:val="uk-UA"/>
        </w:rPr>
      </w:pPr>
      <w:r>
        <w:rPr>
          <w:b/>
          <w:sz w:val="20"/>
          <w:szCs w:val="20"/>
          <w:lang w:val="uk-UA"/>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lang w:val="uk-UA"/>
        </w:rPr>
      </w:pPr>
      <w:r>
        <w:rPr>
          <w:b/>
          <w:sz w:val="20"/>
          <w:szCs w:val="20"/>
          <w:lang w:val="uk-UA"/>
        </w:rPr>
        <w:t>Генеральний директор</w:t>
      </w:r>
    </w:p>
    <w:p>
      <w:pPr>
        <w:pStyle w:val="Normal"/>
        <w:rPr>
          <w:b/>
          <w:b/>
          <w:sz w:val="20"/>
          <w:szCs w:val="20"/>
          <w:lang w:val="uk-UA"/>
        </w:rPr>
      </w:pPr>
      <w:r>
        <w:rPr>
          <w:b/>
          <w:sz w:val="20"/>
          <w:szCs w:val="20"/>
          <w:lang w:val="uk-UA"/>
        </w:rPr>
        <w:t>ПрАТ «</w:t>
      </w:r>
      <w:r>
        <w:rPr>
          <w:b/>
          <w:bCs/>
          <w:sz w:val="20"/>
          <w:szCs w:val="20"/>
          <w:lang w:val="uk-UA"/>
        </w:rPr>
        <w:t>ЗМК</w:t>
      </w:r>
      <w:r>
        <w:rPr>
          <w:b/>
          <w:bCs/>
          <w:caps/>
          <w:sz w:val="20"/>
          <w:szCs w:val="20"/>
          <w:lang w:val="uk-UA"/>
        </w:rPr>
        <w:t xml:space="preserve"> УКРСТАЛЬ Дніпро</w:t>
      </w:r>
      <w:r>
        <w:rPr>
          <w:b/>
          <w:sz w:val="20"/>
          <w:szCs w:val="20"/>
          <w:lang w:val="uk-UA"/>
        </w:rPr>
        <w:t>»</w:t>
        <w:tab/>
        <w:tab/>
        <w:tab/>
        <w:tab/>
        <w:tab/>
        <w:tab/>
        <w:tab/>
        <w:tab/>
        <w:t>І.В. Ягупов</w:t>
      </w:r>
      <w:bookmarkStart w:id="0" w:name="_GoBack"/>
      <w:bookmarkEnd w:id="0"/>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https://www.csd.ua/images/stories/pdf/depsystem/2020/%D0%9F%D0%BE%D0%B2%D1%96%D0%B4%D0%BE%D0%BC%D0%BB%D0%B5%D0%BD%D0%BD%D1%8F_%D0%94%D0%97%D0%9C%D0%9A_11.2020_%D0%B0%D0%BA%D1%86%D1%96%D0%BE%D0%BD%D0%B5%D1%80%D0%B0%D0%BC_%D1%87%D0%B8%D1%81%D1%82_20201015123734.pdf</w:t>
      </w:r>
    </w:p>
    <w:sectPr>
      <w:footerReference w:type="default" r:id="rId3"/>
      <w:type w:val="nextPage"/>
      <w:pgSz w:w="11906" w:h="16838"/>
      <w:pgMar w:left="1134"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1847591"/>
    </w:sdtPr>
    <w:sdtContent>
      <w:p>
        <w:pPr>
          <w:pStyle w:val="Style31"/>
          <w:jc w:val="right"/>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sdtContent>
  </w:sdt>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1"/>
      <w:szCs w:val="21"/>
      <w:lang w:val="uk-UA"/>
    </w:rPr>
  </w:style>
  <w:style w:type="character" w:styleId="ListLabel49">
    <w:name w:val="ListLabel 49"/>
    <w:qFormat/>
    <w:rPr>
      <w:sz w:val="21"/>
      <w:szCs w:val="21"/>
      <w:lang w:val="en-US"/>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uiPriority w:val="34"/>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zmk.pat.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8F2B-B6AF-417A-A444-44D3262D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Application>LibreOffice/6.1.4.2$Windows_X86_64 LibreOffice_project/9d0f32d1f0b509096fd65e0d4bec26ddd1938fd3</Application>
  <Pages>3</Pages>
  <Words>1698</Words>
  <Characters>11551</Characters>
  <CharactersWithSpaces>13220</CharactersWithSpaces>
  <Paragraphs>63</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2019-02-26T14:45:00Z</dcterms:created>
  <dc:creator>Alla Moroz</dc:creator>
  <dc:description/>
  <dc:language>ru-RU</dc:language>
  <cp:lastModifiedBy/>
  <cp:lastPrinted>2020-10-13T12:12:00Z</cp:lastPrinted>
  <dcterms:modified xsi:type="dcterms:W3CDTF">2022-06-27T16:34:19Z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